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DE" w:rsidRDefault="005A1BDE" w:rsidP="005A1BDE">
      <w:pPr>
        <w:spacing w:after="0"/>
        <w:jc w:val="center"/>
        <w:rPr>
          <w:rFonts w:ascii="Cambria" w:eastAsia="Times New Roman" w:hAnsi="Cambria"/>
          <w:color w:val="000099"/>
          <w:sz w:val="28"/>
          <w:lang w:val="uk-UA" w:eastAsia="ru-RU"/>
        </w:rPr>
      </w:pPr>
      <w:r>
        <w:rPr>
          <w:rFonts w:ascii="Cambria" w:eastAsia="Times New Roman" w:hAnsi="Cambria"/>
          <w:color w:val="000099"/>
          <w:sz w:val="28"/>
          <w:lang w:val="uk-UA" w:eastAsia="ru-RU"/>
        </w:rPr>
        <w:t>Дошкільний навчальний заклад ( ясла- садок) №1 «Дзвіночок»</w:t>
      </w:r>
    </w:p>
    <w:p w:rsidR="005A1BDE" w:rsidRDefault="005A1BDE" w:rsidP="005A1BDE">
      <w:pPr>
        <w:spacing w:after="0"/>
        <w:jc w:val="center"/>
        <w:rPr>
          <w:rFonts w:ascii="Cambria" w:eastAsia="Times New Roman" w:hAnsi="Cambria"/>
          <w:b/>
          <w:color w:val="000099"/>
          <w:sz w:val="24"/>
          <w:lang w:val="uk-UA" w:eastAsia="ru-RU"/>
        </w:rPr>
      </w:pPr>
      <w:r>
        <w:rPr>
          <w:rFonts w:ascii="Cambria" w:eastAsia="Times New Roman" w:hAnsi="Cambria"/>
          <w:color w:val="000099"/>
          <w:sz w:val="28"/>
          <w:lang w:val="uk-UA" w:eastAsia="ru-RU"/>
        </w:rPr>
        <w:t>Комунальної власності Сарненської міської ради</w:t>
      </w:r>
    </w:p>
    <w:p w:rsidR="005A1BDE" w:rsidRDefault="005A1BDE" w:rsidP="005A1BDE">
      <w:pPr>
        <w:rPr>
          <w:rFonts w:ascii="Cambria" w:eastAsia="Times New Roman" w:hAnsi="Cambria"/>
          <w:b/>
          <w:sz w:val="48"/>
          <w:lang w:val="uk-UA" w:eastAsia="ru-RU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80D649" wp14:editId="5AA986B5">
            <wp:simplePos x="0" y="0"/>
            <wp:positionH relativeFrom="margin">
              <wp:posOffset>274955</wp:posOffset>
            </wp:positionH>
            <wp:positionV relativeFrom="margin">
              <wp:posOffset>650240</wp:posOffset>
            </wp:positionV>
            <wp:extent cx="5105400" cy="2131060"/>
            <wp:effectExtent l="0" t="0" r="0" b="2540"/>
            <wp:wrapNone/>
            <wp:docPr id="1" name="Рисунок 1" descr="0_6987c_bdaf9aef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_6987c_bdaf9aef_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BDE" w:rsidRDefault="005A1BDE" w:rsidP="005A1BDE">
      <w:pPr>
        <w:rPr>
          <w:rFonts w:ascii="Cambria" w:eastAsia="Times New Roman" w:hAnsi="Cambria"/>
          <w:b/>
          <w:sz w:val="48"/>
          <w:lang w:val="uk-UA" w:eastAsia="ru-RU"/>
        </w:rPr>
      </w:pPr>
    </w:p>
    <w:p w:rsidR="005A1BDE" w:rsidRDefault="005A1BDE" w:rsidP="005A1BDE">
      <w:pPr>
        <w:rPr>
          <w:rFonts w:ascii="Cambria" w:eastAsia="Times New Roman" w:hAnsi="Cambria"/>
          <w:b/>
          <w:sz w:val="48"/>
          <w:lang w:val="uk-UA" w:eastAsia="ru-RU"/>
        </w:rPr>
      </w:pPr>
    </w:p>
    <w:p w:rsidR="005A1BDE" w:rsidRDefault="005A1BDE" w:rsidP="005A1BDE">
      <w:pPr>
        <w:rPr>
          <w:rFonts w:ascii="Cambria" w:eastAsia="Times New Roman" w:hAnsi="Cambria"/>
          <w:b/>
          <w:sz w:val="48"/>
          <w:lang w:val="uk-UA" w:eastAsia="ru-RU"/>
        </w:rPr>
      </w:pPr>
    </w:p>
    <w:p w:rsidR="005A1BDE" w:rsidRDefault="005A1BDE" w:rsidP="005A1BDE">
      <w:pPr>
        <w:spacing w:after="0"/>
        <w:jc w:val="center"/>
        <w:rPr>
          <w:rFonts w:ascii="Cambria" w:eastAsia="Times New Roman" w:hAnsi="Cambria"/>
          <w:i/>
          <w:color w:val="000099"/>
          <w:sz w:val="40"/>
          <w:lang w:val="uk-UA" w:eastAsia="ru-RU"/>
        </w:rPr>
      </w:pPr>
    </w:p>
    <w:p w:rsidR="005A1BDE" w:rsidRPr="005A1BDE" w:rsidRDefault="005A1BDE" w:rsidP="005A1BDE">
      <w:pPr>
        <w:spacing w:after="0"/>
        <w:jc w:val="center"/>
        <w:rPr>
          <w:rFonts w:ascii="Cambria" w:eastAsia="Times New Roman" w:hAnsi="Cambria"/>
          <w:i/>
          <w:color w:val="000099"/>
          <w:sz w:val="40"/>
          <w:lang w:val="uk-UA" w:eastAsia="ru-RU"/>
        </w:rPr>
      </w:pPr>
      <w:r>
        <w:rPr>
          <w:rFonts w:ascii="Cambria" w:eastAsia="Times New Roman" w:hAnsi="Cambria"/>
          <w:i/>
          <w:color w:val="000099"/>
          <w:sz w:val="40"/>
          <w:lang w:val="uk-UA" w:eastAsia="ru-RU"/>
        </w:rPr>
        <w:t>Консультація для педагогів</w:t>
      </w:r>
    </w:p>
    <w:p w:rsidR="005A1BDE" w:rsidRPr="005A1BDE" w:rsidRDefault="005A1BDE" w:rsidP="005A1BDE">
      <w:pPr>
        <w:spacing w:after="0"/>
        <w:jc w:val="center"/>
        <w:rPr>
          <w:rFonts w:ascii="Cambria" w:eastAsia="Times New Roman" w:hAnsi="Cambria"/>
          <w:b/>
          <w:bCs/>
          <w:i/>
          <w:color w:val="000099"/>
          <w:sz w:val="48"/>
          <w:lang w:val="uk-UA" w:eastAsia="ru-RU"/>
        </w:rPr>
      </w:pPr>
      <w:r>
        <w:rPr>
          <w:rFonts w:ascii="Cambria" w:eastAsia="Times New Roman" w:hAnsi="Cambria"/>
          <w:b/>
          <w:bCs/>
          <w:i/>
          <w:color w:val="000099"/>
          <w:sz w:val="48"/>
          <w:lang w:val="uk-UA" w:eastAsia="ru-RU"/>
        </w:rPr>
        <w:t>«</w:t>
      </w:r>
      <w:proofErr w:type="spellStart"/>
      <w:r w:rsidRPr="005A1BDE">
        <w:rPr>
          <w:rFonts w:ascii="Cambria" w:eastAsia="Times New Roman" w:hAnsi="Cambria"/>
          <w:b/>
          <w:bCs/>
          <w:i/>
          <w:color w:val="000099"/>
          <w:sz w:val="48"/>
          <w:lang w:eastAsia="ru-RU"/>
        </w:rPr>
        <w:t>Професійне</w:t>
      </w:r>
      <w:proofErr w:type="spellEnd"/>
      <w:r w:rsidRPr="005A1BDE">
        <w:rPr>
          <w:rFonts w:ascii="Cambria" w:eastAsia="Times New Roman" w:hAnsi="Cambria"/>
          <w:b/>
          <w:bCs/>
          <w:i/>
          <w:color w:val="000099"/>
          <w:sz w:val="48"/>
          <w:lang w:eastAsia="ru-RU"/>
        </w:rPr>
        <w:t xml:space="preserve"> </w:t>
      </w:r>
      <w:proofErr w:type="spellStart"/>
      <w:r w:rsidRPr="005A1BDE">
        <w:rPr>
          <w:rFonts w:ascii="Cambria" w:eastAsia="Times New Roman" w:hAnsi="Cambria"/>
          <w:b/>
          <w:bCs/>
          <w:i/>
          <w:color w:val="000099"/>
          <w:sz w:val="48"/>
          <w:lang w:eastAsia="ru-RU"/>
        </w:rPr>
        <w:t>мовлення</w:t>
      </w:r>
      <w:proofErr w:type="spellEnd"/>
      <w:r w:rsidRPr="005A1BDE">
        <w:rPr>
          <w:rFonts w:ascii="Cambria" w:eastAsia="Times New Roman" w:hAnsi="Cambria"/>
          <w:b/>
          <w:bCs/>
          <w:i/>
          <w:color w:val="000099"/>
          <w:sz w:val="48"/>
          <w:lang w:eastAsia="ru-RU"/>
        </w:rPr>
        <w:t xml:space="preserve"> </w:t>
      </w:r>
      <w:proofErr w:type="spellStart"/>
      <w:r w:rsidRPr="005A1BDE">
        <w:rPr>
          <w:rFonts w:ascii="Cambria" w:eastAsia="Times New Roman" w:hAnsi="Cambria"/>
          <w:b/>
          <w:bCs/>
          <w:i/>
          <w:color w:val="000099"/>
          <w:sz w:val="48"/>
          <w:lang w:eastAsia="ru-RU"/>
        </w:rPr>
        <w:t>педагогів</w:t>
      </w:r>
      <w:proofErr w:type="spellEnd"/>
      <w:r w:rsidRPr="005A1BDE">
        <w:rPr>
          <w:rFonts w:ascii="Cambria" w:eastAsia="Times New Roman" w:hAnsi="Cambria"/>
          <w:b/>
          <w:bCs/>
          <w:i/>
          <w:color w:val="000099"/>
          <w:sz w:val="48"/>
          <w:lang w:eastAsia="ru-RU"/>
        </w:rPr>
        <w:t>.</w:t>
      </w:r>
      <w:r>
        <w:rPr>
          <w:rFonts w:ascii="Cambria" w:eastAsia="Times New Roman" w:hAnsi="Cambria"/>
          <w:b/>
          <w:bCs/>
          <w:i/>
          <w:color w:val="000099"/>
          <w:sz w:val="48"/>
          <w:lang w:val="uk-UA" w:eastAsia="ru-RU"/>
        </w:rPr>
        <w:t>»</w:t>
      </w:r>
    </w:p>
    <w:p w:rsidR="005A1BDE" w:rsidRDefault="005A1BDE" w:rsidP="005A1BDE">
      <w:pPr>
        <w:spacing w:after="0"/>
        <w:jc w:val="center"/>
        <w:rPr>
          <w:rFonts w:ascii="Cambria" w:eastAsia="Times New Roman" w:hAnsi="Cambria"/>
          <w:b/>
          <w:bCs/>
          <w:i/>
          <w:color w:val="000099"/>
          <w:sz w:val="48"/>
          <w:lang w:val="uk-UA" w:eastAsia="ru-RU"/>
        </w:rPr>
      </w:pPr>
    </w:p>
    <w:p w:rsidR="005A1BDE" w:rsidRDefault="005A1BDE" w:rsidP="005A1BDE">
      <w:pPr>
        <w:spacing w:after="0"/>
        <w:jc w:val="center"/>
        <w:rPr>
          <w:rFonts w:ascii="Cambria" w:eastAsia="Times New Roman" w:hAnsi="Cambria"/>
          <w:b/>
          <w:i/>
          <w:color w:val="000099"/>
          <w:sz w:val="48"/>
          <w:lang w:val="uk-UA" w:eastAsia="ru-RU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8173E8" wp14:editId="31487EE6">
            <wp:simplePos x="0" y="0"/>
            <wp:positionH relativeFrom="margin">
              <wp:posOffset>798830</wp:posOffset>
            </wp:positionH>
            <wp:positionV relativeFrom="margin">
              <wp:posOffset>4269740</wp:posOffset>
            </wp:positionV>
            <wp:extent cx="5105400" cy="2131060"/>
            <wp:effectExtent l="0" t="0" r="0" b="2540"/>
            <wp:wrapNone/>
            <wp:docPr id="2" name="Рисунок 2" descr="0_6987c_bdaf9aef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6987c_bdaf9aef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BDE" w:rsidRDefault="005A1BDE" w:rsidP="005A1BDE">
      <w:pPr>
        <w:spacing w:after="0"/>
        <w:jc w:val="center"/>
        <w:rPr>
          <w:rFonts w:ascii="Cambria" w:eastAsia="Times New Roman" w:hAnsi="Cambria"/>
          <w:b/>
          <w:bCs/>
          <w:i/>
          <w:color w:val="000099"/>
          <w:sz w:val="56"/>
          <w:lang w:val="uk-UA" w:eastAsia="ru-RU"/>
        </w:rPr>
      </w:pPr>
    </w:p>
    <w:p w:rsidR="005A1BDE" w:rsidRDefault="005A1BDE" w:rsidP="005A1BDE">
      <w:pPr>
        <w:spacing w:after="0"/>
        <w:jc w:val="center"/>
        <w:rPr>
          <w:rFonts w:ascii="Cambria" w:eastAsia="Times New Roman" w:hAnsi="Cambria"/>
          <w:bCs/>
          <w:i/>
          <w:noProof/>
          <w:sz w:val="40"/>
          <w:lang w:val="uk-UA" w:eastAsia="ru-RU"/>
        </w:rPr>
      </w:pPr>
    </w:p>
    <w:p w:rsidR="005A1BDE" w:rsidRDefault="005A1BDE" w:rsidP="005A1BDE">
      <w:pPr>
        <w:spacing w:after="0"/>
        <w:rPr>
          <w:rFonts w:ascii="Cambria" w:eastAsia="Times New Roman" w:hAnsi="Cambria"/>
          <w:bCs/>
          <w:i/>
          <w:noProof/>
          <w:sz w:val="40"/>
          <w:lang w:val="uk-UA" w:eastAsia="ru-RU"/>
        </w:rPr>
      </w:pPr>
    </w:p>
    <w:p w:rsidR="005A1BDE" w:rsidRDefault="005A1BDE" w:rsidP="005A1BDE">
      <w:pPr>
        <w:spacing w:after="0"/>
        <w:rPr>
          <w:rFonts w:ascii="Cambria" w:eastAsia="Times New Roman" w:hAnsi="Cambria"/>
          <w:bCs/>
          <w:i/>
          <w:noProof/>
          <w:sz w:val="40"/>
          <w:lang w:val="uk-UA" w:eastAsia="ru-RU"/>
        </w:rPr>
      </w:pPr>
    </w:p>
    <w:p w:rsidR="005A1BDE" w:rsidRDefault="005A1BDE" w:rsidP="005A1BDE">
      <w:pPr>
        <w:spacing w:after="0"/>
        <w:rPr>
          <w:rFonts w:ascii="Cambria" w:eastAsia="Times New Roman" w:hAnsi="Cambria"/>
          <w:bCs/>
          <w:i/>
          <w:noProof/>
          <w:sz w:val="40"/>
          <w:lang w:val="uk-UA" w:eastAsia="ru-RU"/>
        </w:rPr>
      </w:pPr>
    </w:p>
    <w:p w:rsidR="005A1BDE" w:rsidRDefault="005A1BDE" w:rsidP="005A1BDE">
      <w:pPr>
        <w:spacing w:after="0"/>
        <w:rPr>
          <w:rFonts w:ascii="Cambria" w:eastAsia="Times New Roman" w:hAnsi="Cambria"/>
          <w:bCs/>
          <w:i/>
          <w:noProof/>
          <w:sz w:val="40"/>
          <w:lang w:val="uk-UA" w:eastAsia="ru-RU"/>
        </w:rPr>
      </w:pPr>
    </w:p>
    <w:p w:rsidR="005A1BDE" w:rsidRDefault="005A1BDE" w:rsidP="005A1BDE">
      <w:pPr>
        <w:spacing w:after="0"/>
        <w:rPr>
          <w:rFonts w:ascii="Cambria" w:eastAsia="Times New Roman" w:hAnsi="Cambria"/>
          <w:bCs/>
          <w:noProof/>
          <w:color w:val="000099"/>
          <w:sz w:val="32"/>
          <w:lang w:val="uk-UA" w:eastAsia="ru-RU"/>
        </w:rPr>
      </w:pPr>
      <w:r>
        <w:rPr>
          <w:rFonts w:ascii="Cambria" w:eastAsia="Times New Roman" w:hAnsi="Cambria"/>
          <w:bCs/>
          <w:i/>
          <w:noProof/>
          <w:sz w:val="40"/>
          <w:lang w:val="uk-UA" w:eastAsia="ru-RU"/>
        </w:rPr>
        <w:t xml:space="preserve">                                                                    </w:t>
      </w:r>
      <w:r>
        <w:rPr>
          <w:rFonts w:ascii="Cambria" w:eastAsia="Times New Roman" w:hAnsi="Cambria"/>
          <w:bCs/>
          <w:noProof/>
          <w:color w:val="000099"/>
          <w:sz w:val="32"/>
          <w:lang w:val="uk-UA" w:eastAsia="ru-RU"/>
        </w:rPr>
        <w:t xml:space="preserve">Підготувала і провела </w:t>
      </w:r>
    </w:p>
    <w:p w:rsidR="005A1BDE" w:rsidRDefault="005A1BDE" w:rsidP="005A1BDE">
      <w:pPr>
        <w:spacing w:after="0"/>
        <w:jc w:val="center"/>
        <w:rPr>
          <w:rFonts w:ascii="Cambria" w:eastAsia="Times New Roman" w:hAnsi="Cambria"/>
          <w:bCs/>
          <w:noProof/>
          <w:color w:val="000099"/>
          <w:sz w:val="32"/>
          <w:lang w:val="uk-UA" w:eastAsia="ru-RU"/>
        </w:rPr>
      </w:pPr>
      <w:r>
        <w:rPr>
          <w:rFonts w:ascii="Cambria" w:eastAsia="Times New Roman" w:hAnsi="Cambria"/>
          <w:bCs/>
          <w:noProof/>
          <w:color w:val="000099"/>
          <w:sz w:val="32"/>
          <w:lang w:val="uk-UA" w:eastAsia="ru-RU"/>
        </w:rPr>
        <w:t xml:space="preserve">                                                                 вихователь- методист: </w:t>
      </w:r>
    </w:p>
    <w:p w:rsidR="005A1BDE" w:rsidRDefault="005A1BDE" w:rsidP="005A1BDE">
      <w:pPr>
        <w:spacing w:after="0"/>
        <w:jc w:val="center"/>
        <w:rPr>
          <w:rFonts w:ascii="Cambria" w:eastAsia="Times New Roman" w:hAnsi="Cambria"/>
          <w:bCs/>
          <w:noProof/>
          <w:color w:val="000099"/>
          <w:sz w:val="32"/>
          <w:lang w:val="uk-UA" w:eastAsia="ru-RU"/>
        </w:rPr>
      </w:pPr>
      <w:r>
        <w:rPr>
          <w:rFonts w:ascii="Cambria" w:eastAsia="Times New Roman" w:hAnsi="Cambria"/>
          <w:bCs/>
          <w:noProof/>
          <w:color w:val="000099"/>
          <w:sz w:val="32"/>
          <w:lang w:val="uk-UA" w:eastAsia="ru-RU"/>
        </w:rPr>
        <w:t xml:space="preserve">                                            </w:t>
      </w:r>
      <w:r>
        <w:rPr>
          <w:rFonts w:ascii="Cambria" w:eastAsia="Times New Roman" w:hAnsi="Cambria"/>
          <w:b/>
          <w:bCs/>
          <w:noProof/>
          <w:color w:val="000099"/>
          <w:sz w:val="32"/>
          <w:lang w:val="uk-UA" w:eastAsia="ru-RU"/>
        </w:rPr>
        <w:t>Птуха О.М.</w:t>
      </w:r>
    </w:p>
    <w:p w:rsidR="005A1BDE" w:rsidRDefault="005A1BDE" w:rsidP="005A1BDE">
      <w:pPr>
        <w:spacing w:after="0"/>
        <w:jc w:val="center"/>
        <w:rPr>
          <w:rFonts w:ascii="Cambria" w:eastAsia="Times New Roman" w:hAnsi="Cambria"/>
          <w:b/>
          <w:bCs/>
          <w:noProof/>
          <w:color w:val="000099"/>
          <w:sz w:val="32"/>
          <w:lang w:val="uk-UA" w:eastAsia="ru-RU"/>
        </w:rPr>
      </w:pPr>
      <w:r>
        <w:rPr>
          <w:rFonts w:ascii="Cambria" w:eastAsia="Times New Roman" w:hAnsi="Cambria"/>
          <w:bCs/>
          <w:noProof/>
          <w:color w:val="000099"/>
          <w:sz w:val="32"/>
          <w:lang w:val="uk-UA" w:eastAsia="ru-RU"/>
        </w:rPr>
        <w:t xml:space="preserve">                          </w:t>
      </w:r>
    </w:p>
    <w:p w:rsidR="005A1BDE" w:rsidRDefault="005A1BDE" w:rsidP="005A1BDE">
      <w:pPr>
        <w:spacing w:after="0"/>
        <w:rPr>
          <w:rFonts w:ascii="Cambria" w:eastAsia="Times New Roman" w:hAnsi="Cambria"/>
          <w:bCs/>
          <w:i/>
          <w:noProof/>
          <w:sz w:val="40"/>
          <w:lang w:val="uk-UA" w:eastAsia="ru-RU"/>
        </w:rPr>
      </w:pPr>
    </w:p>
    <w:p w:rsidR="005A1BDE" w:rsidRDefault="005A1BDE" w:rsidP="005A1BDE">
      <w:pPr>
        <w:spacing w:after="0"/>
        <w:rPr>
          <w:rFonts w:ascii="Cambria" w:eastAsia="Times New Roman" w:hAnsi="Cambria"/>
          <w:bCs/>
          <w:i/>
          <w:noProof/>
          <w:sz w:val="40"/>
          <w:lang w:val="uk-UA" w:eastAsia="ru-RU"/>
        </w:rPr>
      </w:pPr>
    </w:p>
    <w:p w:rsidR="005A1BDE" w:rsidRDefault="005A1BDE" w:rsidP="005A1BDE">
      <w:pPr>
        <w:spacing w:after="0"/>
        <w:rPr>
          <w:rFonts w:ascii="Cambria" w:eastAsia="Times New Roman" w:hAnsi="Cambria"/>
          <w:bCs/>
          <w:i/>
          <w:noProof/>
          <w:sz w:val="40"/>
          <w:lang w:val="uk-UA" w:eastAsia="ru-RU"/>
        </w:rPr>
      </w:pPr>
    </w:p>
    <w:p w:rsidR="005A1BDE" w:rsidRPr="005A1BDE" w:rsidRDefault="005A1BDE" w:rsidP="005A1BDE">
      <w:pPr>
        <w:spacing w:after="0"/>
        <w:jc w:val="center"/>
        <w:rPr>
          <w:rFonts w:ascii="Cambria" w:eastAsia="Times New Roman" w:hAnsi="Cambria"/>
          <w:bCs/>
          <w:i/>
          <w:color w:val="000099"/>
          <w:sz w:val="36"/>
          <w:lang w:val="uk-UA" w:eastAsia="ru-RU"/>
        </w:rPr>
      </w:pPr>
      <w:r>
        <w:rPr>
          <w:rFonts w:ascii="Cambria" w:eastAsia="Times New Roman" w:hAnsi="Cambria"/>
          <w:bCs/>
          <w:i/>
          <w:noProof/>
          <w:color w:val="000099"/>
          <w:sz w:val="36"/>
          <w:lang w:val="uk-UA" w:eastAsia="ru-RU"/>
        </w:rPr>
        <w:t>м.Сарни – 202</w:t>
      </w:r>
      <w:r w:rsidR="008320F1">
        <w:rPr>
          <w:rFonts w:ascii="Cambria" w:eastAsia="Times New Roman" w:hAnsi="Cambria"/>
          <w:bCs/>
          <w:i/>
          <w:noProof/>
          <w:color w:val="000099"/>
          <w:sz w:val="36"/>
          <w:lang w:val="uk-UA" w:eastAsia="ru-RU"/>
        </w:rPr>
        <w:t>1</w:t>
      </w:r>
      <w:r>
        <w:rPr>
          <w:rFonts w:ascii="Cambria" w:eastAsia="Times New Roman" w:hAnsi="Cambria"/>
          <w:bCs/>
          <w:i/>
          <w:noProof/>
          <w:color w:val="000099"/>
          <w:sz w:val="36"/>
          <w:lang w:val="uk-UA" w:eastAsia="ru-RU"/>
        </w:rPr>
        <w:t>р.</w:t>
      </w:r>
      <w:r w:rsidRPr="005A1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bookmarkStart w:id="0" w:name="_GoBack"/>
      <w:r w:rsidRPr="008320F1">
        <w:rPr>
          <w:rFonts w:asciiTheme="majorHAnsi" w:eastAsia="Times New Roman" w:hAnsiTheme="majorHAnsi" w:cs="Tahoma"/>
          <w:color w:val="000000"/>
          <w:sz w:val="24"/>
          <w:szCs w:val="18"/>
          <w:lang w:val="uk-UA" w:eastAsia="ru-RU"/>
        </w:rPr>
        <w:lastRenderedPageBreak/>
        <w:t xml:space="preserve">Культура мовлення є обов’язковим елементом загальної культури людини. Не випадково вважається, що мовлення людини – її візитна картка, оскільки від того, наскільки </w:t>
      </w:r>
      <w:proofErr w:type="spellStart"/>
      <w:r w:rsidRPr="008320F1">
        <w:rPr>
          <w:rFonts w:asciiTheme="majorHAnsi" w:eastAsia="Times New Roman" w:hAnsiTheme="majorHAnsi" w:cs="Tahoma"/>
          <w:color w:val="000000"/>
          <w:sz w:val="24"/>
          <w:szCs w:val="18"/>
          <w:lang w:val="uk-UA" w:eastAsia="ru-RU"/>
        </w:rPr>
        <w:t>грамотно</w:t>
      </w:r>
      <w:proofErr w:type="spellEnd"/>
      <w:r w:rsidRPr="008320F1">
        <w:rPr>
          <w:rFonts w:asciiTheme="majorHAnsi" w:eastAsia="Times New Roman" w:hAnsiTheme="majorHAnsi" w:cs="Tahoma"/>
          <w:color w:val="000000"/>
          <w:sz w:val="24"/>
          <w:szCs w:val="18"/>
          <w:lang w:val="uk-UA" w:eastAsia="ru-RU"/>
        </w:rPr>
        <w:t xml:space="preserve"> людина висловлює свої думки, залежить її успіх не лише у повсякденному спілкуванні, але й у професійній діяльності. </w:t>
      </w: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Особливо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актуальне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це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твердження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щодо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педагога,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який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працює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з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дітьми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.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Дошкільний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вік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є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сенситивним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періодом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мовленнєвого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розвитку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дитини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тому один з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пров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ідних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напрямів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діяльності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вихователя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дитячого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садка –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формування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усного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та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навичок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мовленнєвого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спілкування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що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спирається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володіння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рідною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літературною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мовою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.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Одним з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основних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механізмів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оволодіння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дітьми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ідною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мовою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є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наслідування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У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досл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ідженнях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основоположників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методики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розвитку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дітей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Єлизавети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Михеєвої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та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Фелікса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Шохіна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наголошується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що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вчаться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говорити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завдяки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слуху та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здатності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наслідувати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Дошкільники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говорять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те,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що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чують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оскільки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внутрішні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механізми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дитини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утворюються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лише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ід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впливом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систематично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організованого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дорослих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Автор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однієї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з методик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розвитку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дошкільників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Муза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Алексєєва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відзнача</w:t>
      </w:r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є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,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що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наслідуючи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дорослих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дитина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переймає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не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лише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всі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тонкощі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вимови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слововживання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побудови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фраз, але й ту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недосконалість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і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помилки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які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зустрічаються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в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їхньому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.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Саме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тому до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закладу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сьогодні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ставляться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високі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-моги, і проблема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ідвищення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культури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вихователя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розглядається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контексті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підвищення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якості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освіти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.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Якість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мовленнєвого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розвитку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дошкільників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залежить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від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якості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педагогів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і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ід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мовленнєвого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середовища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яке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останні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створюють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дошкільному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навчальному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закладі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Видатні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педагоги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Єлизавета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Михеєва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та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Євгенія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Фльоріна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особливу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увагу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приділяли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створенню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дитячому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садку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розвивального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мовленнєвого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середовища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як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чинника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розвитку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дітей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На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їхню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думку,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дошкільним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працівникам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необхідно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ставити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в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обов’язок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створювати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таке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середовище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в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якому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«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дітей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могло б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розвиватися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правильно і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безперешкодно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».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сучасних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досл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ідженнях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проблем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підвищення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культури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виділяють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компоненти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його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професійного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і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вимоги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до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нього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.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До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компонентів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професійного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відносяться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: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•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якість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оформлення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;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•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ціннісно-особистісні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установки педагога;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•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комунікативна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компетентність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;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•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чіткий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вибі</w:t>
      </w:r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</w:t>
      </w:r>
      <w:proofErr w:type="spellEnd"/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інформації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для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створення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вислову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;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•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орієнтація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процес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безпосередньої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комунікації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.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Серед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вимог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до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закладу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виділяють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: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lastRenderedPageBreak/>
        <w:t xml:space="preserve">•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правильніст</w:t>
      </w:r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–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відповідність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мовним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нормам. Педагогу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необхідно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знати і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виконувати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спілкуванні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з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дітьми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основні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норми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ідної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: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орфоепічні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норми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(правила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літературної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вимови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), 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також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норми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утворення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і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зміни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слів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;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•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точніст</w:t>
      </w:r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–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відповідність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змісту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та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інформації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яка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лежить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його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основі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Педагогу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слід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звернути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особливу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увагу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семантичний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(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смисловий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) аспект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що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сприяє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формуванню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дітей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навичок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точності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слововживання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;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•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логічніст</w:t>
      </w:r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–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вираження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смислових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зв’язках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компонентів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і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відносин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між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частинами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та компонентами думки. Педагогу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слід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враховувати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що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саме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дошкільному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віці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закладаються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уявлення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про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структурні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компоненти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зв’язного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вислову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формуються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навички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використання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ізних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способів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внутрішньо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текстових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зв’язків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;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• чистот</w:t>
      </w:r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а–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відсутність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елементів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невластивих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літературній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Усунення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із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активного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не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літературної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лексики –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одне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із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завдань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мовленнєвого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розвитку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дітей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Тому,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зважаючи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на те,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що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цьому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віці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пров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ідним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механізмом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мовленнєвого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розвитку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є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наслідування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педагогу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необхідно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піклуватися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про чистоту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власного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: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неприпустимо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використовувати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слова-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паразити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діалектні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жаргонні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слова;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•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виразність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–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особливість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що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допомагає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захоплювати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увагу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і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створювати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атмосферу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емоційного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співпереживання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Виразність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педагога є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потужним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засобом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впливу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дитину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Володіння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педагогом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ізними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засобами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виразності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(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інтонація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темп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сила,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висота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голосу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тощо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)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сприяє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не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лише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формуванню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довільності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виразності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дитини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але й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повнішому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усвідомленню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дитиною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змісту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дорослого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формуванню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вміння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виражати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своє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ставлення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до предмета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розмови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;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•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багатств</w:t>
      </w:r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–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уміння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використовувати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всі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одиниці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з метою оптимального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вираження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інформації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Педагогу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слід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враховувати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що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в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дошкільному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віці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формуються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основи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лексичного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запасу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дитини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тому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багатий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лексикон самого педагога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сприяє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не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лише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розширенню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словарного запасу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дитини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але й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допомагає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сформувати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неї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навички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точності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слововживання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виразності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й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образності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;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•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доц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ільність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–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вживання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одиниць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відповідних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ситуації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та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умовам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спілкування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.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Доц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ільність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передбачає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насамперед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володіння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відчуттям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стилю.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Урахування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специфіки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віку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націлює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педагога на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формування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дітей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культури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мовленнєвої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поведінки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(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навичок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спілкування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уміння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користуватися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ізними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формулами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мовленнєвого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етикету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орієнтуватися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на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ситуацію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спілкування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співбесідника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і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т.ін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.).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 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До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цього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переліку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необхідно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додати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і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правильне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використання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педагогом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невербальних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засобів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спілкування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, 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його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уміння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не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лише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говорити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з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дитиною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gram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але й</w:t>
      </w:r>
      <w:proofErr w:type="gram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чути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її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.</w:t>
      </w:r>
    </w:p>
    <w:p w:rsidR="005A1BDE" w:rsidRPr="005A1BDE" w:rsidRDefault="005A1BDE" w:rsidP="005A1BDE">
      <w:pPr>
        <w:shd w:val="clear" w:color="auto" w:fill="FFFFFF"/>
        <w:spacing w:after="0" w:line="240" w:lineRule="atLeast"/>
        <w:ind w:firstLine="426"/>
        <w:jc w:val="both"/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</w:pP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Безумовно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знання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педагогом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закладу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зазначених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вимог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,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їх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дотримання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і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постійне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вдосконалення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свого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мовлення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–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це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запорука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успішності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роботи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з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мовленнєвого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розвитку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дітей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у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дошкільному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закладі</w:t>
      </w:r>
      <w:proofErr w:type="spellEnd"/>
      <w:r w:rsidRPr="005A1BDE">
        <w:rPr>
          <w:rFonts w:asciiTheme="majorHAnsi" w:eastAsia="Times New Roman" w:hAnsiTheme="majorHAnsi" w:cs="Tahoma"/>
          <w:color w:val="000000"/>
          <w:sz w:val="24"/>
          <w:szCs w:val="18"/>
          <w:lang w:eastAsia="ru-RU"/>
        </w:rPr>
        <w:t>.</w:t>
      </w:r>
    </w:p>
    <w:bookmarkEnd w:id="0"/>
    <w:p w:rsidR="00A941CB" w:rsidRDefault="00A941CB"/>
    <w:sectPr w:rsidR="00A941CB" w:rsidSect="005A1B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DE"/>
    <w:rsid w:val="005A1BDE"/>
    <w:rsid w:val="008320F1"/>
    <w:rsid w:val="00A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7987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761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Бухгалтер700</cp:lastModifiedBy>
  <cp:revision>2</cp:revision>
  <dcterms:created xsi:type="dcterms:W3CDTF">2019-08-14T10:41:00Z</dcterms:created>
  <dcterms:modified xsi:type="dcterms:W3CDTF">2020-10-22T07:40:00Z</dcterms:modified>
</cp:coreProperties>
</file>